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16A23" w14:textId="48CD4927" w:rsidR="00275213" w:rsidRPr="00AB1B07" w:rsidRDefault="00224706" w:rsidP="008D3429">
      <w:pPr>
        <w:pStyle w:val="Heading1"/>
        <w:spacing w:line="276" w:lineRule="auto"/>
        <w:rPr>
          <w:rFonts w:ascii="Arial" w:hAnsi="Arial" w:cs="Arial"/>
          <w:sz w:val="22"/>
          <w:szCs w:val="22"/>
        </w:rPr>
      </w:pPr>
      <w:bookmarkStart w:id="0" w:name="_Hlk17371994"/>
      <w:r>
        <w:rPr>
          <w:rFonts w:ascii="Arial" w:hAnsi="Arial" w:cs="Arial"/>
          <w:sz w:val="22"/>
          <w:szCs w:val="22"/>
        </w:rPr>
        <w:t>Overview of the Transformative Agreement</w:t>
      </w:r>
    </w:p>
    <w:p w14:paraId="03B75578" w14:textId="3E4355C6" w:rsidR="00704CDA" w:rsidRDefault="00AE3321" w:rsidP="00AB1B07">
      <w:pPr>
        <w:numPr>
          <w:ilvl w:val="0"/>
          <w:numId w:val="21"/>
        </w:numPr>
        <w:spacing w:before="100" w:beforeAutospacing="1" w:after="100" w:afterAutospacing="1" w:line="240" w:lineRule="auto"/>
        <w:rPr>
          <w:rFonts w:ascii="Arial" w:hAnsi="Arial" w:cs="Arial"/>
        </w:rPr>
      </w:pPr>
      <w:bookmarkStart w:id="1" w:name="OLE_LINK7"/>
      <w:bookmarkStart w:id="2" w:name="OLE_LINK8"/>
      <w:bookmarkEnd w:id="0"/>
      <w:r w:rsidRPr="00AB1B07">
        <w:rPr>
          <w:rFonts w:ascii="Arial" w:hAnsi="Arial" w:cs="Arial"/>
        </w:rPr>
        <w:t xml:space="preserve">The </w:t>
      </w:r>
      <w:r w:rsidRPr="00AB1B07">
        <w:rPr>
          <w:rFonts w:ascii="Arial" w:hAnsi="Arial" w:cs="Arial"/>
          <w:highlight w:val="yellow"/>
        </w:rPr>
        <w:t>[Publisher NAME]</w:t>
      </w:r>
      <w:r w:rsidRPr="00AB1B07">
        <w:rPr>
          <w:rFonts w:ascii="Arial" w:hAnsi="Arial" w:cs="Arial"/>
        </w:rPr>
        <w:t xml:space="preserve"> (“Publisher) has agreed with </w:t>
      </w:r>
      <w:r w:rsidRPr="00AB1B07">
        <w:rPr>
          <w:rFonts w:ascii="Arial" w:hAnsi="Arial" w:cs="Arial"/>
          <w:highlight w:val="yellow"/>
        </w:rPr>
        <w:t>[CONSORTIUM NAME]</w:t>
      </w:r>
      <w:r w:rsidRPr="00AB1B07">
        <w:rPr>
          <w:rFonts w:ascii="Arial" w:hAnsi="Arial" w:cs="Arial"/>
        </w:rPr>
        <w:t xml:space="preserve"> (“Consortium”) this </w:t>
      </w:r>
      <w:r w:rsidR="00224706">
        <w:rPr>
          <w:rFonts w:ascii="Arial" w:hAnsi="Arial" w:cs="Arial"/>
        </w:rPr>
        <w:t xml:space="preserve">Overview of </w:t>
      </w:r>
      <w:r w:rsidR="004334DE">
        <w:rPr>
          <w:rFonts w:ascii="Arial" w:hAnsi="Arial" w:cs="Arial"/>
        </w:rPr>
        <w:t xml:space="preserve">a </w:t>
      </w:r>
      <w:r w:rsidR="00224706">
        <w:rPr>
          <w:rFonts w:ascii="Arial" w:hAnsi="Arial" w:cs="Arial"/>
        </w:rPr>
        <w:t>Transformative Agreement</w:t>
      </w:r>
      <w:r w:rsidR="004334DE">
        <w:rPr>
          <w:rFonts w:ascii="Arial" w:hAnsi="Arial" w:cs="Arial"/>
        </w:rPr>
        <w:t xml:space="preserve"> </w:t>
      </w:r>
      <w:r w:rsidRPr="00AB1B07">
        <w:rPr>
          <w:rFonts w:ascii="Arial" w:hAnsi="Arial" w:cs="Arial"/>
        </w:rPr>
        <w:t>for [</w:t>
      </w:r>
      <w:r w:rsidRPr="00D53F79">
        <w:rPr>
          <w:rFonts w:ascii="Arial" w:hAnsi="Arial" w:cs="Arial"/>
          <w:highlight w:val="yellow"/>
        </w:rPr>
        <w:t>INSERT Product Name/Title(s)]</w:t>
      </w:r>
      <w:r w:rsidR="00823737" w:rsidRPr="00823737">
        <w:rPr>
          <w:rFonts w:ascii="Arial" w:hAnsi="Arial" w:cs="Arial"/>
        </w:rPr>
        <w:t xml:space="preserve"> </w:t>
      </w:r>
      <w:r w:rsidR="00823737">
        <w:rPr>
          <w:rFonts w:ascii="Arial" w:hAnsi="Arial" w:cs="Arial"/>
        </w:rPr>
        <w:t>(“Product”)</w:t>
      </w:r>
      <w:r w:rsidRPr="00AB1B07">
        <w:rPr>
          <w:rFonts w:ascii="Arial" w:hAnsi="Arial" w:cs="Arial"/>
        </w:rPr>
        <w:t xml:space="preserve">. </w:t>
      </w:r>
      <w:r w:rsidR="00704CDA">
        <w:rPr>
          <w:rFonts w:ascii="Arial" w:hAnsi="Arial" w:cs="Arial"/>
        </w:rPr>
        <w:br/>
      </w:r>
    </w:p>
    <w:p w14:paraId="2604AAC6" w14:textId="5B16CC37" w:rsidR="00224706" w:rsidRPr="004334DE" w:rsidRDefault="00224706" w:rsidP="009827E5">
      <w:pPr>
        <w:numPr>
          <w:ilvl w:val="0"/>
          <w:numId w:val="21"/>
        </w:numPr>
        <w:spacing w:before="100" w:beforeAutospacing="1" w:after="100" w:afterAutospacing="1" w:line="240" w:lineRule="auto"/>
        <w:rPr>
          <w:rFonts w:ascii="Arial" w:hAnsi="Arial" w:cs="Arial"/>
        </w:rPr>
      </w:pPr>
      <w:r w:rsidRPr="00704CDA">
        <w:rPr>
          <w:rFonts w:ascii="Arial" w:hAnsi="Arial" w:cs="Arial"/>
        </w:rPr>
        <w:t xml:space="preserve">The Publisher and the Consortium agree that they want this </w:t>
      </w:r>
      <w:r w:rsidRPr="009827E5">
        <w:rPr>
          <w:rFonts w:ascii="Arial" w:hAnsi="Arial" w:cs="Arial"/>
        </w:rPr>
        <w:t xml:space="preserve">Transformative Agreement.  to be part of a transition with the aim of shifting from subscriptions to full open access. </w:t>
      </w:r>
      <w:r w:rsidR="006670EB">
        <w:rPr>
          <w:rFonts w:ascii="Arial" w:hAnsi="Arial" w:cs="Arial"/>
        </w:rPr>
        <w:br/>
      </w:r>
    </w:p>
    <w:p w14:paraId="06E3907A" w14:textId="0F405588" w:rsidR="00AE3321" w:rsidRPr="00AB1B07" w:rsidRDefault="00823737" w:rsidP="00AB1B07">
      <w:pPr>
        <w:numPr>
          <w:ilvl w:val="0"/>
          <w:numId w:val="21"/>
        </w:numPr>
        <w:spacing w:before="100" w:beforeAutospacing="1" w:after="100" w:afterAutospacing="1" w:line="240" w:lineRule="auto"/>
        <w:rPr>
          <w:rFonts w:ascii="Arial" w:hAnsi="Arial" w:cs="Arial"/>
        </w:rPr>
      </w:pPr>
      <w:r w:rsidRPr="00AB1B07">
        <w:rPr>
          <w:rFonts w:ascii="Arial" w:hAnsi="Arial" w:cs="Arial"/>
        </w:rPr>
        <w:t>Th</w:t>
      </w:r>
      <w:r>
        <w:rPr>
          <w:rFonts w:ascii="Arial" w:hAnsi="Arial" w:cs="Arial"/>
        </w:rPr>
        <w:t>e Licence</w:t>
      </w:r>
      <w:r w:rsidRPr="00AB1B07">
        <w:rPr>
          <w:rFonts w:ascii="Arial" w:hAnsi="Arial" w:cs="Arial"/>
        </w:rPr>
        <w:t xml:space="preserve"> </w:t>
      </w:r>
      <w:r w:rsidR="00AE3321" w:rsidRPr="00AB1B07">
        <w:rPr>
          <w:rFonts w:ascii="Arial" w:hAnsi="Arial" w:cs="Arial"/>
        </w:rPr>
        <w:t xml:space="preserve">will provide consortium member institutions with access to and use of </w:t>
      </w:r>
      <w:r>
        <w:rPr>
          <w:rFonts w:ascii="Arial" w:hAnsi="Arial" w:cs="Arial"/>
        </w:rPr>
        <w:t>the Product</w:t>
      </w:r>
      <w:r w:rsidR="00AE3321" w:rsidRPr="00AB1B07">
        <w:rPr>
          <w:rFonts w:ascii="Arial" w:hAnsi="Arial" w:cs="Arial"/>
        </w:rPr>
        <w:t xml:space="preserve">. It will also provide Open Access Article publication in </w:t>
      </w:r>
      <w:r>
        <w:rPr>
          <w:rFonts w:ascii="Arial" w:hAnsi="Arial" w:cs="Arial"/>
        </w:rPr>
        <w:t>the Product</w:t>
      </w:r>
      <w:r w:rsidRPr="00AB1B07" w:rsidDel="00823737">
        <w:rPr>
          <w:rFonts w:ascii="Arial" w:hAnsi="Arial" w:cs="Arial"/>
        </w:rPr>
        <w:t xml:space="preserve"> </w:t>
      </w:r>
      <w:r w:rsidR="00AE3321" w:rsidRPr="00AB1B07">
        <w:rPr>
          <w:rFonts w:ascii="Arial" w:hAnsi="Arial" w:cs="Arial"/>
        </w:rPr>
        <w:t>for</w:t>
      </w:r>
      <w:r w:rsidR="00086300">
        <w:rPr>
          <w:rFonts w:ascii="Arial" w:hAnsi="Arial" w:cs="Arial"/>
        </w:rPr>
        <w:t xml:space="preserve"> </w:t>
      </w:r>
      <w:r w:rsidR="00224706">
        <w:rPr>
          <w:rFonts w:ascii="Arial" w:hAnsi="Arial" w:cs="Arial"/>
        </w:rPr>
        <w:t xml:space="preserve">submitting </w:t>
      </w:r>
      <w:r w:rsidR="00086300">
        <w:rPr>
          <w:rFonts w:ascii="Arial" w:hAnsi="Arial" w:cs="Arial"/>
        </w:rPr>
        <w:t>corresponding</w:t>
      </w:r>
      <w:r w:rsidR="00AE3321" w:rsidRPr="00AB1B07">
        <w:rPr>
          <w:rFonts w:ascii="Arial" w:hAnsi="Arial" w:cs="Arial"/>
        </w:rPr>
        <w:t xml:space="preserve"> authors affiliated to the </w:t>
      </w:r>
      <w:r w:rsidR="006E6FB3">
        <w:rPr>
          <w:rFonts w:ascii="Arial" w:hAnsi="Arial" w:cs="Arial"/>
        </w:rPr>
        <w:t>i</w:t>
      </w:r>
      <w:r w:rsidR="006E6FB3" w:rsidRPr="00AB1B07">
        <w:rPr>
          <w:rFonts w:ascii="Arial" w:hAnsi="Arial" w:cs="Arial"/>
        </w:rPr>
        <w:t>nstitutions</w:t>
      </w:r>
      <w:r w:rsidR="006E6FB3">
        <w:rPr>
          <w:rFonts w:ascii="Arial" w:hAnsi="Arial" w:cs="Arial"/>
        </w:rPr>
        <w:t xml:space="preserve"> </w:t>
      </w:r>
      <w:r w:rsidR="006E6FB3" w:rsidRPr="006E6FB3">
        <w:rPr>
          <w:rFonts w:ascii="Arial" w:hAnsi="Arial" w:cs="Arial"/>
        </w:rPr>
        <w:t>(</w:t>
      </w:r>
      <w:r w:rsidR="006E6FB3" w:rsidRPr="00D53F79">
        <w:rPr>
          <w:rFonts w:ascii="Arial" w:hAnsi="Arial" w:cs="Arial"/>
        </w:rPr>
        <w:t>“Eligible Authors”).</w:t>
      </w:r>
      <w:r w:rsidR="00AB1B07">
        <w:rPr>
          <w:rFonts w:ascii="Arial" w:hAnsi="Arial" w:cs="Arial"/>
        </w:rPr>
        <w:br/>
      </w:r>
    </w:p>
    <w:p w14:paraId="6CBA4F52" w14:textId="7B26E6DB" w:rsidR="00AE3321" w:rsidRPr="00AB1B07" w:rsidRDefault="00AE3321" w:rsidP="00AB1B07">
      <w:pPr>
        <w:numPr>
          <w:ilvl w:val="0"/>
          <w:numId w:val="21"/>
        </w:numPr>
        <w:spacing w:before="100" w:beforeAutospacing="1" w:after="100" w:afterAutospacing="1" w:line="240" w:lineRule="auto"/>
        <w:rPr>
          <w:rFonts w:ascii="Arial" w:hAnsi="Arial" w:cs="Arial"/>
        </w:rPr>
      </w:pPr>
      <w:r w:rsidRPr="006E6FB3">
        <w:rPr>
          <w:rFonts w:ascii="Arial" w:hAnsi="Arial" w:cs="Arial"/>
        </w:rPr>
        <w:t>The Publisher and the Consortium</w:t>
      </w:r>
      <w:r w:rsidRPr="00AB1B07">
        <w:rPr>
          <w:rFonts w:ascii="Arial" w:hAnsi="Arial" w:cs="Arial"/>
        </w:rPr>
        <w:t xml:space="preserve"> share a mutual commitment to work on new approaches for the pricing for the renewal of </w:t>
      </w:r>
      <w:r w:rsidR="00823737">
        <w:rPr>
          <w:rFonts w:ascii="Arial" w:hAnsi="Arial" w:cs="Arial"/>
        </w:rPr>
        <w:t>the Licence</w:t>
      </w:r>
      <w:r w:rsidRPr="00AB1B07">
        <w:rPr>
          <w:rFonts w:ascii="Arial" w:hAnsi="Arial" w:cs="Arial"/>
        </w:rPr>
        <w:t>. Future pricing approaches will be transparent, equitable around the world, and linked to impact of services on</w:t>
      </w:r>
      <w:r w:rsidR="00AB1B07">
        <w:rPr>
          <w:rFonts w:ascii="Arial" w:hAnsi="Arial" w:cs="Arial"/>
        </w:rPr>
        <w:t xml:space="preserve"> </w:t>
      </w:r>
      <w:r w:rsidRPr="00AB1B07">
        <w:rPr>
          <w:rFonts w:ascii="Arial" w:hAnsi="Arial" w:cs="Arial"/>
        </w:rPr>
        <w:t>authors, readers, institutions, and society.</w:t>
      </w:r>
      <w:r w:rsidR="00AB1B07">
        <w:rPr>
          <w:rFonts w:ascii="Arial" w:hAnsi="Arial" w:cs="Arial"/>
        </w:rPr>
        <w:br/>
      </w:r>
    </w:p>
    <w:p w14:paraId="16049DF4" w14:textId="77777777" w:rsidR="004334DE" w:rsidRPr="006E6FB3" w:rsidRDefault="004334DE" w:rsidP="004334DE">
      <w:pPr>
        <w:pStyle w:val="Heading1"/>
        <w:numPr>
          <w:ilvl w:val="0"/>
          <w:numId w:val="21"/>
        </w:numPr>
        <w:rPr>
          <w:rFonts w:ascii="Arial" w:hAnsi="Arial" w:cs="Arial"/>
          <w:b w:val="0"/>
          <w:bCs w:val="0"/>
          <w:sz w:val="22"/>
          <w:szCs w:val="22"/>
        </w:rPr>
      </w:pPr>
      <w:r>
        <w:rPr>
          <w:rFonts w:ascii="Arial" w:hAnsi="Arial" w:cs="Arial"/>
          <w:b w:val="0"/>
          <w:bCs w:val="0"/>
          <w:sz w:val="22"/>
          <w:szCs w:val="22"/>
        </w:rPr>
        <w:t>As a result, t</w:t>
      </w:r>
      <w:r w:rsidRPr="006E6FB3">
        <w:rPr>
          <w:rFonts w:ascii="Arial" w:hAnsi="Arial" w:cs="Arial"/>
          <w:b w:val="0"/>
          <w:bCs w:val="0"/>
          <w:sz w:val="22"/>
          <w:szCs w:val="22"/>
        </w:rPr>
        <w:t xml:space="preserve">he Publisher and the Consortium agree that they want to work together to evaluate the </w:t>
      </w:r>
      <w:r>
        <w:rPr>
          <w:rFonts w:ascii="Arial" w:hAnsi="Arial" w:cs="Arial"/>
          <w:b w:val="0"/>
          <w:bCs w:val="0"/>
          <w:sz w:val="22"/>
          <w:szCs w:val="22"/>
        </w:rPr>
        <w:t>Licence</w:t>
      </w:r>
      <w:r w:rsidRPr="006E6FB3">
        <w:rPr>
          <w:rFonts w:ascii="Arial" w:hAnsi="Arial" w:cs="Arial"/>
          <w:b w:val="0"/>
          <w:bCs w:val="0"/>
          <w:sz w:val="22"/>
          <w:szCs w:val="22"/>
        </w:rPr>
        <w:t>.</w:t>
      </w:r>
      <w:r w:rsidRPr="006E6FB3">
        <w:rPr>
          <w:rFonts w:ascii="Arial" w:hAnsi="Arial" w:cs="Arial"/>
          <w:b w:val="0"/>
          <w:bCs w:val="0"/>
          <w:sz w:val="22"/>
          <w:szCs w:val="22"/>
        </w:rPr>
        <w:br/>
      </w:r>
    </w:p>
    <w:p w14:paraId="0C91EA75" w14:textId="0CCE2112" w:rsidR="00AE3321" w:rsidRPr="00AB1B07" w:rsidRDefault="004334DE" w:rsidP="00AB1B07">
      <w:pPr>
        <w:numPr>
          <w:ilvl w:val="0"/>
          <w:numId w:val="21"/>
        </w:numPr>
        <w:spacing w:before="100" w:beforeAutospacing="1" w:after="100" w:afterAutospacing="1" w:line="240" w:lineRule="auto"/>
        <w:rPr>
          <w:rFonts w:ascii="Arial" w:hAnsi="Arial" w:cs="Arial"/>
        </w:rPr>
      </w:pPr>
      <w:r>
        <w:rPr>
          <w:rFonts w:ascii="Arial" w:hAnsi="Arial" w:cs="Arial"/>
        </w:rPr>
        <w:t>T</w:t>
      </w:r>
      <w:r w:rsidR="00AE3321" w:rsidRPr="00AB1B07">
        <w:rPr>
          <w:rFonts w:ascii="Arial" w:hAnsi="Arial" w:cs="Arial"/>
        </w:rPr>
        <w:t xml:space="preserve">he </w:t>
      </w:r>
      <w:r w:rsidR="00823737">
        <w:rPr>
          <w:rFonts w:ascii="Arial" w:hAnsi="Arial" w:cs="Arial"/>
        </w:rPr>
        <w:t>Licence</w:t>
      </w:r>
      <w:r w:rsidR="00AE3321" w:rsidRPr="00AB1B07">
        <w:rPr>
          <w:rFonts w:ascii="Arial" w:hAnsi="Arial" w:cs="Arial"/>
        </w:rPr>
        <w:t xml:space="preserve"> will have a term of 3-years so that th</w:t>
      </w:r>
      <w:r w:rsidR="00AB1B07">
        <w:rPr>
          <w:rFonts w:ascii="Arial" w:hAnsi="Arial" w:cs="Arial"/>
        </w:rPr>
        <w:t xml:space="preserve">e </w:t>
      </w:r>
      <w:r w:rsidR="00AE3321" w:rsidRPr="00AB1B07">
        <w:rPr>
          <w:rFonts w:ascii="Arial" w:hAnsi="Arial" w:cs="Arial"/>
        </w:rPr>
        <w:t>Publisher and the Consortium</w:t>
      </w:r>
      <w:r w:rsidR="00823737">
        <w:rPr>
          <w:rFonts w:ascii="Arial" w:hAnsi="Arial" w:cs="Arial"/>
        </w:rPr>
        <w:t xml:space="preserve"> </w:t>
      </w:r>
      <w:r w:rsidR="00AE3321" w:rsidRPr="00AB1B07">
        <w:rPr>
          <w:rFonts w:ascii="Arial" w:hAnsi="Arial" w:cs="Arial"/>
        </w:rPr>
        <w:t>have time to learn and evolve together.</w:t>
      </w:r>
      <w:r w:rsidR="00AB1B07">
        <w:rPr>
          <w:rFonts w:ascii="Arial" w:hAnsi="Arial" w:cs="Arial"/>
        </w:rPr>
        <w:br/>
      </w:r>
    </w:p>
    <w:p w14:paraId="38F06CDB" w14:textId="16D5A169" w:rsidR="00823737" w:rsidRPr="00AB1B07" w:rsidRDefault="00AE3321" w:rsidP="00AB1B07">
      <w:pPr>
        <w:numPr>
          <w:ilvl w:val="0"/>
          <w:numId w:val="21"/>
        </w:numPr>
        <w:spacing w:before="100" w:beforeAutospacing="1" w:after="240" w:line="240" w:lineRule="auto"/>
        <w:rPr>
          <w:rFonts w:ascii="Arial" w:hAnsi="Arial" w:cs="Arial"/>
        </w:rPr>
      </w:pPr>
      <w:r w:rsidRPr="00AB1B07">
        <w:rPr>
          <w:rFonts w:ascii="Arial" w:hAnsi="Arial" w:cs="Arial"/>
        </w:rPr>
        <w:t>To inform the Fee</w:t>
      </w:r>
      <w:r w:rsidR="00B80D0A">
        <w:rPr>
          <w:rFonts w:ascii="Arial" w:hAnsi="Arial" w:cs="Arial"/>
        </w:rPr>
        <w:t xml:space="preserve"> for the Transformative Agreement</w:t>
      </w:r>
      <w:r w:rsidRPr="00AB1B07">
        <w:rPr>
          <w:rFonts w:ascii="Arial" w:hAnsi="Arial" w:cs="Arial"/>
        </w:rPr>
        <w:t xml:space="preserve"> the Publisher and the Consortium have </w:t>
      </w:r>
      <w:r w:rsidR="004334DE">
        <w:rPr>
          <w:rFonts w:ascii="Arial" w:hAnsi="Arial" w:cs="Arial"/>
        </w:rPr>
        <w:t xml:space="preserve">exchanged </w:t>
      </w:r>
      <w:r w:rsidRPr="00AB1B07">
        <w:rPr>
          <w:rFonts w:ascii="Arial" w:hAnsi="Arial" w:cs="Arial"/>
        </w:rPr>
        <w:t>data</w:t>
      </w:r>
      <w:r w:rsidR="004334DE">
        <w:rPr>
          <w:rFonts w:ascii="Arial" w:hAnsi="Arial" w:cs="Arial"/>
        </w:rPr>
        <w:t xml:space="preserve"> about subscription spend, APC spend, and publishing patterns.</w:t>
      </w:r>
    </w:p>
    <w:p w14:paraId="2ACCDBF6" w14:textId="7E0D5143" w:rsidR="00AE3321" w:rsidRPr="004334DE" w:rsidRDefault="00AE3321" w:rsidP="004334DE">
      <w:pPr>
        <w:pStyle w:val="ListParagraph"/>
        <w:numPr>
          <w:ilvl w:val="0"/>
          <w:numId w:val="21"/>
        </w:numPr>
        <w:spacing w:before="100" w:beforeAutospacing="1" w:after="100" w:afterAutospacing="1" w:line="240" w:lineRule="auto"/>
        <w:rPr>
          <w:rFonts w:ascii="Arial" w:hAnsi="Arial" w:cs="Arial"/>
        </w:rPr>
      </w:pPr>
      <w:r w:rsidRPr="004334DE">
        <w:rPr>
          <w:rFonts w:ascii="Arial" w:hAnsi="Arial" w:cs="Arial"/>
        </w:rPr>
        <w:t>Data shared between the Publisher and the Consortium can form a starting position</w:t>
      </w:r>
      <w:r w:rsidR="006B56FA">
        <w:rPr>
          <w:rFonts w:ascii="Arial" w:hAnsi="Arial" w:cs="Arial"/>
        </w:rPr>
        <w:t xml:space="preserve"> </w:t>
      </w:r>
      <w:r w:rsidRPr="004334DE">
        <w:rPr>
          <w:rFonts w:ascii="Arial" w:hAnsi="Arial" w:cs="Arial"/>
        </w:rPr>
        <w:t xml:space="preserve">should the Transformative </w:t>
      </w:r>
      <w:r w:rsidR="00D53F79" w:rsidRPr="004334DE">
        <w:rPr>
          <w:rFonts w:ascii="Arial" w:hAnsi="Arial" w:cs="Arial"/>
        </w:rPr>
        <w:t xml:space="preserve">Licence </w:t>
      </w:r>
      <w:r w:rsidRPr="004334DE">
        <w:rPr>
          <w:rFonts w:ascii="Arial" w:hAnsi="Arial" w:cs="Arial"/>
        </w:rPr>
        <w:t>not be renewed on the same terms.</w:t>
      </w:r>
      <w:r w:rsidR="006B56FA">
        <w:rPr>
          <w:rFonts w:ascii="Arial" w:hAnsi="Arial" w:cs="Arial"/>
        </w:rPr>
        <w:br/>
      </w:r>
    </w:p>
    <w:p w14:paraId="05C2E1C7" w14:textId="46DD8B7F" w:rsidR="004334DE" w:rsidRPr="004334DE" w:rsidRDefault="00AE3321" w:rsidP="004334DE">
      <w:pPr>
        <w:pStyle w:val="ListParagraph"/>
        <w:numPr>
          <w:ilvl w:val="0"/>
          <w:numId w:val="21"/>
        </w:numPr>
        <w:spacing w:before="100" w:beforeAutospacing="1" w:after="100" w:afterAutospacing="1" w:line="240" w:lineRule="auto"/>
        <w:rPr>
          <w:rFonts w:ascii="Arial" w:hAnsi="Arial" w:cs="Arial"/>
        </w:rPr>
      </w:pPr>
      <w:r w:rsidRPr="004334DE">
        <w:rPr>
          <w:rFonts w:ascii="Arial" w:hAnsi="Arial" w:cs="Arial"/>
        </w:rPr>
        <w:t>Eligible Authors, on acceptance of publication, will have Open Access Article</w:t>
      </w:r>
      <w:r w:rsidR="00D53F79" w:rsidRPr="004334DE">
        <w:rPr>
          <w:rFonts w:ascii="Arial" w:hAnsi="Arial" w:cs="Arial"/>
        </w:rPr>
        <w:t>s</w:t>
      </w:r>
      <w:r w:rsidRPr="004334DE">
        <w:rPr>
          <w:rFonts w:ascii="Arial" w:hAnsi="Arial" w:cs="Arial"/>
        </w:rPr>
        <w:t xml:space="preserve"> published in </w:t>
      </w:r>
      <w:r w:rsidR="00823737" w:rsidRPr="004334DE">
        <w:rPr>
          <w:rFonts w:ascii="Arial" w:hAnsi="Arial" w:cs="Arial"/>
        </w:rPr>
        <w:t>the Product</w:t>
      </w:r>
      <w:r w:rsidRPr="004334DE">
        <w:rPr>
          <w:rFonts w:ascii="Arial" w:hAnsi="Arial" w:cs="Arial"/>
        </w:rPr>
        <w:t xml:space="preserve"> free of Article Processing Charges. The Publisher will not charge Eligible Authors or their </w:t>
      </w:r>
      <w:r w:rsidR="006E6FB3" w:rsidRPr="004334DE">
        <w:rPr>
          <w:rFonts w:ascii="Arial" w:hAnsi="Arial" w:cs="Arial"/>
        </w:rPr>
        <w:t>i</w:t>
      </w:r>
      <w:r w:rsidRPr="004334DE">
        <w:rPr>
          <w:rFonts w:ascii="Arial" w:hAnsi="Arial" w:cs="Arial"/>
        </w:rPr>
        <w:t>nstitutions service fees (e.g. colour-in-print, reprints, posters).</w:t>
      </w:r>
      <w:r w:rsidR="004334DE" w:rsidRPr="004334DE">
        <w:rPr>
          <w:rFonts w:ascii="Arial" w:hAnsi="Arial" w:cs="Arial"/>
        </w:rPr>
        <w:t xml:space="preserve"> </w:t>
      </w:r>
    </w:p>
    <w:p w14:paraId="59DB0013" w14:textId="7CC684DA" w:rsidR="004334DE" w:rsidRDefault="004334DE" w:rsidP="004334DE">
      <w:pPr>
        <w:pStyle w:val="ListParagraph"/>
        <w:spacing w:before="100" w:beforeAutospacing="1" w:after="100" w:afterAutospacing="1" w:line="240" w:lineRule="auto"/>
        <w:rPr>
          <w:rFonts w:ascii="Arial" w:hAnsi="Arial" w:cs="Arial"/>
        </w:rPr>
      </w:pPr>
    </w:p>
    <w:p w14:paraId="3C0E415E" w14:textId="77777777" w:rsidR="009C527D" w:rsidRDefault="009C527D" w:rsidP="004334DE">
      <w:pPr>
        <w:pStyle w:val="ListParagraph"/>
        <w:numPr>
          <w:ilvl w:val="0"/>
          <w:numId w:val="21"/>
        </w:numPr>
        <w:spacing w:before="100" w:beforeAutospacing="1" w:after="100" w:afterAutospacing="1" w:line="240" w:lineRule="auto"/>
        <w:rPr>
          <w:rFonts w:ascii="Arial" w:hAnsi="Arial" w:cs="Arial"/>
        </w:rPr>
      </w:pPr>
      <w:r>
        <w:rPr>
          <w:rFonts w:ascii="Arial" w:hAnsi="Arial" w:cs="Arial"/>
        </w:rPr>
        <w:t>The</w:t>
      </w:r>
      <w:r w:rsidRPr="004334DE">
        <w:rPr>
          <w:rFonts w:ascii="Arial" w:hAnsi="Arial" w:cs="Arial"/>
        </w:rPr>
        <w:t xml:space="preserve"> Publisher will identify approved Open Access Articles that Eligible Authors have submitted and will clearly indicate to them the availability the Transformative Journals Agreement. The Publisher will also communicate this to Eligible Authors both within its submitting process and on the its website. This will make clear that Eligible Authors do not need to pay Article Processing Charges for Open Access Articles under the terms of the Transformative Journals Agreement. </w:t>
      </w:r>
    </w:p>
    <w:p w14:paraId="1E5EC633" w14:textId="77777777" w:rsidR="009C527D" w:rsidRDefault="009C527D" w:rsidP="009C527D">
      <w:pPr>
        <w:pStyle w:val="ListParagraph"/>
        <w:spacing w:before="100" w:beforeAutospacing="1" w:after="100" w:afterAutospacing="1" w:line="240" w:lineRule="auto"/>
        <w:rPr>
          <w:rFonts w:ascii="Arial" w:hAnsi="Arial" w:cs="Arial"/>
        </w:rPr>
      </w:pPr>
    </w:p>
    <w:p w14:paraId="7DAC85DC" w14:textId="09EE8486" w:rsidR="004334DE" w:rsidRPr="004334DE" w:rsidRDefault="00AE3321" w:rsidP="004334DE">
      <w:pPr>
        <w:pStyle w:val="ListParagraph"/>
        <w:numPr>
          <w:ilvl w:val="0"/>
          <w:numId w:val="21"/>
        </w:numPr>
        <w:spacing w:before="100" w:beforeAutospacing="1" w:after="100" w:afterAutospacing="1" w:line="240" w:lineRule="auto"/>
        <w:rPr>
          <w:rFonts w:ascii="Arial" w:hAnsi="Arial" w:cs="Arial"/>
        </w:rPr>
      </w:pPr>
      <w:r w:rsidRPr="004334DE">
        <w:rPr>
          <w:rFonts w:ascii="Arial" w:hAnsi="Arial" w:cs="Arial"/>
        </w:rPr>
        <w:t xml:space="preserve">Eligible Authors retain copyright to their publications. All publications </w:t>
      </w:r>
      <w:r w:rsidR="00460045" w:rsidRPr="004334DE">
        <w:rPr>
          <w:rFonts w:ascii="Arial" w:hAnsi="Arial" w:cs="Arial"/>
        </w:rPr>
        <w:t xml:space="preserve">by Eligible Authors </w:t>
      </w:r>
      <w:r w:rsidRPr="004334DE">
        <w:rPr>
          <w:rFonts w:ascii="Arial" w:hAnsi="Arial" w:cs="Arial"/>
        </w:rPr>
        <w:t xml:space="preserve">must be under an open license, preferably the Creative Commons Attribution license (CC BY) or the Creative Commons Attribution ShareAlike license (CC BY SA). Third-party content included in a publication, for example images or graphics, should be </w:t>
      </w:r>
      <w:r w:rsidR="00460045" w:rsidRPr="004334DE">
        <w:rPr>
          <w:rFonts w:ascii="Arial" w:hAnsi="Arial" w:cs="Arial"/>
        </w:rPr>
        <w:t xml:space="preserve">labelled </w:t>
      </w:r>
      <w:r w:rsidRPr="004334DE">
        <w:rPr>
          <w:rFonts w:ascii="Arial" w:hAnsi="Arial" w:cs="Arial"/>
        </w:rPr>
        <w:t>clearly and are not affected by these requirements.</w:t>
      </w:r>
      <w:r w:rsidR="004334DE" w:rsidRPr="004334DE">
        <w:rPr>
          <w:rFonts w:ascii="Arial" w:hAnsi="Arial" w:cs="Arial"/>
        </w:rPr>
        <w:t xml:space="preserve"> </w:t>
      </w:r>
    </w:p>
    <w:p w14:paraId="0483236D" w14:textId="77777777" w:rsidR="004334DE" w:rsidRDefault="004334DE" w:rsidP="004334DE">
      <w:pPr>
        <w:pStyle w:val="ListParagraph"/>
        <w:spacing w:before="100" w:beforeAutospacing="1" w:after="100" w:afterAutospacing="1" w:line="240" w:lineRule="auto"/>
        <w:rPr>
          <w:rFonts w:ascii="Arial" w:hAnsi="Arial" w:cs="Arial"/>
        </w:rPr>
      </w:pPr>
    </w:p>
    <w:p w14:paraId="443177B2" w14:textId="419ECF4A" w:rsidR="004334DE" w:rsidRPr="004334DE" w:rsidRDefault="00AE3321" w:rsidP="004334DE">
      <w:pPr>
        <w:pStyle w:val="ListParagraph"/>
        <w:numPr>
          <w:ilvl w:val="0"/>
          <w:numId w:val="21"/>
        </w:numPr>
        <w:spacing w:before="100" w:beforeAutospacing="1" w:after="100" w:afterAutospacing="1" w:line="240" w:lineRule="auto"/>
        <w:rPr>
          <w:rFonts w:ascii="Arial" w:hAnsi="Arial" w:cs="Arial"/>
        </w:rPr>
      </w:pPr>
      <w:r w:rsidRPr="004334DE">
        <w:rPr>
          <w:rFonts w:ascii="Arial" w:hAnsi="Arial" w:cs="Arial"/>
        </w:rPr>
        <w:t xml:space="preserve">Institutions will have </w:t>
      </w:r>
      <w:r w:rsidR="006E6FB3" w:rsidRPr="004334DE">
        <w:rPr>
          <w:rFonts w:ascii="Arial" w:hAnsi="Arial" w:cs="Arial"/>
        </w:rPr>
        <w:t xml:space="preserve">continuing post termination use and access rights to the titles in </w:t>
      </w:r>
      <w:r w:rsidR="00823737" w:rsidRPr="004334DE">
        <w:rPr>
          <w:rFonts w:ascii="Arial" w:hAnsi="Arial" w:cs="Arial"/>
        </w:rPr>
        <w:t>the Product.</w:t>
      </w:r>
      <w:r w:rsidR="004334DE" w:rsidRPr="004334DE">
        <w:rPr>
          <w:rFonts w:ascii="Arial" w:hAnsi="Arial" w:cs="Arial"/>
        </w:rPr>
        <w:t xml:space="preserve"> </w:t>
      </w:r>
    </w:p>
    <w:bookmarkEnd w:id="1"/>
    <w:bookmarkEnd w:id="2"/>
    <w:p w14:paraId="0E5A2ACB" w14:textId="2AF03778" w:rsidR="006B56FA" w:rsidRPr="006B56FA" w:rsidRDefault="006F6BEB" w:rsidP="009C527D">
      <w:pPr>
        <w:pStyle w:val="ListParagraph"/>
        <w:numPr>
          <w:ilvl w:val="0"/>
          <w:numId w:val="21"/>
        </w:numPr>
        <w:spacing w:before="100" w:beforeAutospacing="1" w:after="100" w:afterAutospacing="1" w:line="240" w:lineRule="auto"/>
        <w:rPr>
          <w:rFonts w:ascii="Arial" w:hAnsi="Arial" w:cs="Arial"/>
        </w:rPr>
      </w:pPr>
      <w:r w:rsidRPr="004334DE">
        <w:rPr>
          <w:rFonts w:ascii="Arial" w:hAnsi="Arial" w:cs="Arial"/>
        </w:rPr>
        <w:lastRenderedPageBreak/>
        <w:t xml:space="preserve">The financial basis of the Transformative Agreement is </w:t>
      </w:r>
      <w:r w:rsidR="004B2A0E" w:rsidRPr="004334DE">
        <w:rPr>
          <w:rFonts w:ascii="Arial" w:hAnsi="Arial" w:cs="Arial"/>
          <w:highlight w:val="yellow"/>
        </w:rPr>
        <w:t>[</w:t>
      </w:r>
      <w:r w:rsidR="009C527D">
        <w:rPr>
          <w:rFonts w:ascii="Arial" w:hAnsi="Arial" w:cs="Arial"/>
          <w:highlight w:val="yellow"/>
        </w:rPr>
        <w:t>summarise commercial offer here</w:t>
      </w:r>
      <w:r w:rsidR="004B2A0E" w:rsidRPr="004334DE">
        <w:rPr>
          <w:rFonts w:ascii="Arial" w:hAnsi="Arial" w:cs="Arial"/>
          <w:highlight w:val="yellow"/>
        </w:rPr>
        <w:t>]</w:t>
      </w:r>
      <w:r w:rsidR="006670EB" w:rsidRPr="004334DE">
        <w:rPr>
          <w:rFonts w:ascii="Arial" w:hAnsi="Arial" w:cs="Arial"/>
          <w:highlight w:val="yellow"/>
        </w:rPr>
        <w:t>.</w:t>
      </w:r>
      <w:r w:rsidR="006B56FA">
        <w:rPr>
          <w:rFonts w:ascii="Arial" w:hAnsi="Arial" w:cs="Arial"/>
        </w:rPr>
        <w:br/>
      </w:r>
    </w:p>
    <w:p w14:paraId="3E7A6156" w14:textId="60FBD35F" w:rsidR="009C527D" w:rsidRPr="006B56FA" w:rsidRDefault="009C527D" w:rsidP="006B56FA">
      <w:pPr>
        <w:pStyle w:val="ListParagraph"/>
        <w:numPr>
          <w:ilvl w:val="0"/>
          <w:numId w:val="21"/>
        </w:numPr>
        <w:spacing w:before="100" w:beforeAutospacing="1" w:after="100" w:afterAutospacing="1" w:line="240" w:lineRule="auto"/>
        <w:rPr>
          <w:rFonts w:ascii="Arial" w:hAnsi="Arial" w:cs="Arial"/>
        </w:rPr>
      </w:pPr>
      <w:r w:rsidRPr="006B56FA">
        <w:rPr>
          <w:rFonts w:ascii="Arial" w:hAnsi="Arial" w:cs="Arial"/>
        </w:rPr>
        <w:t xml:space="preserve">The Fee for the Transformative Agreement will not increase for the term of the Licence, regardless of how many Open Access Articles by Eligible Authors are published in the Product. This means that there is no cap on the number of Open Access Articles Eligible Authors can publish in the Product during the term of the Transformative Journals Agreement. </w:t>
      </w:r>
    </w:p>
    <w:p w14:paraId="6E19170A" w14:textId="77777777" w:rsidR="009C527D" w:rsidRDefault="009C527D" w:rsidP="009C527D">
      <w:pPr>
        <w:pStyle w:val="ListParagraph"/>
        <w:spacing w:before="100" w:beforeAutospacing="1" w:after="100" w:afterAutospacing="1" w:line="240" w:lineRule="auto"/>
        <w:rPr>
          <w:rFonts w:ascii="Arial" w:hAnsi="Arial" w:cs="Arial"/>
        </w:rPr>
      </w:pPr>
    </w:p>
    <w:p w14:paraId="4E0340C1" w14:textId="64515A79" w:rsidR="009C527D" w:rsidRPr="009C527D" w:rsidRDefault="009C527D" w:rsidP="009C527D">
      <w:pPr>
        <w:pStyle w:val="ListParagraph"/>
        <w:numPr>
          <w:ilvl w:val="0"/>
          <w:numId w:val="21"/>
        </w:numPr>
        <w:spacing w:before="100" w:beforeAutospacing="1" w:after="100" w:afterAutospacing="1" w:line="240" w:lineRule="auto"/>
        <w:rPr>
          <w:rStyle w:val="Hyperlink"/>
          <w:rFonts w:ascii="Arial" w:hAnsi="Arial" w:cs="Arial"/>
          <w:color w:val="auto"/>
          <w:u w:val="none"/>
        </w:rPr>
      </w:pPr>
      <w:r w:rsidRPr="004334DE">
        <w:rPr>
          <w:rFonts w:ascii="Arial" w:hAnsi="Arial" w:cs="Arial"/>
        </w:rPr>
        <w:t xml:space="preserve">A description of the Service Levels provided by the Publisher will be set out in Schedule </w:t>
      </w:r>
      <w:r w:rsidRPr="004334DE">
        <w:rPr>
          <w:rFonts w:ascii="Arial" w:hAnsi="Arial" w:cs="Arial"/>
          <w:highlight w:val="yellow"/>
        </w:rPr>
        <w:t>X</w:t>
      </w:r>
      <w:r w:rsidRPr="004334DE">
        <w:rPr>
          <w:rFonts w:ascii="Arial" w:hAnsi="Arial" w:cs="Arial"/>
        </w:rPr>
        <w:t xml:space="preserve"> of the Licence. These will include but are not limited to the </w:t>
      </w:r>
      <w:hyperlink r:id="rId8" w:history="1">
        <w:r w:rsidRPr="004334DE">
          <w:rPr>
            <w:rStyle w:val="Hyperlink"/>
            <w:rFonts w:ascii="Arial" w:hAnsi="Arial" w:cs="Arial"/>
          </w:rPr>
          <w:t>template for Open Access Service Level Agreements</w:t>
        </w:r>
      </w:hyperlink>
      <w:r w:rsidRPr="004334DE">
        <w:rPr>
          <w:rFonts w:ascii="Arial" w:hAnsi="Arial" w:cs="Arial"/>
        </w:rPr>
        <w:t xml:space="preserve"> at </w:t>
      </w:r>
      <w:hyperlink r:id="rId9" w:history="1">
        <w:r w:rsidRPr="004334DE">
          <w:rPr>
            <w:rStyle w:val="Hyperlink"/>
            <w:rFonts w:ascii="Arial" w:hAnsi="Arial" w:cs="Arial"/>
          </w:rPr>
          <w:t>https://esac-initiative.org/workflows/sample-workflow-terms-for-transformative-agreements/</w:t>
        </w:r>
      </w:hyperlink>
    </w:p>
    <w:p w14:paraId="09702C3B" w14:textId="77777777" w:rsidR="009C527D" w:rsidRPr="009C527D" w:rsidRDefault="009C527D" w:rsidP="009C527D">
      <w:pPr>
        <w:pStyle w:val="ListParagraph"/>
        <w:rPr>
          <w:rFonts w:ascii="Arial" w:hAnsi="Arial" w:cs="Arial"/>
        </w:rPr>
      </w:pPr>
    </w:p>
    <w:p w14:paraId="421ED94C" w14:textId="77777777" w:rsidR="009C527D" w:rsidRPr="004334DE" w:rsidRDefault="009C527D" w:rsidP="009C527D">
      <w:pPr>
        <w:pStyle w:val="ListParagraph"/>
        <w:numPr>
          <w:ilvl w:val="0"/>
          <w:numId w:val="21"/>
        </w:numPr>
        <w:spacing w:before="100" w:beforeAutospacing="1" w:after="100" w:afterAutospacing="1" w:line="240" w:lineRule="auto"/>
        <w:rPr>
          <w:rFonts w:ascii="Arial" w:hAnsi="Arial" w:cs="Arial"/>
        </w:rPr>
      </w:pPr>
      <w:r w:rsidRPr="004334DE">
        <w:rPr>
          <w:rFonts w:ascii="Arial" w:hAnsi="Arial" w:cs="Arial"/>
        </w:rPr>
        <w:t xml:space="preserve">The Publisher will adhere to the mandatory cOAlition S requirements for: </w:t>
      </w:r>
    </w:p>
    <w:p w14:paraId="348317D8" w14:textId="77777777" w:rsidR="009C527D" w:rsidRPr="004334DE" w:rsidRDefault="009C527D" w:rsidP="009C527D">
      <w:pPr>
        <w:numPr>
          <w:ilvl w:val="0"/>
          <w:numId w:val="19"/>
        </w:numPr>
        <w:spacing w:before="100" w:beforeAutospacing="1" w:after="100" w:afterAutospacing="1" w:line="240" w:lineRule="auto"/>
        <w:rPr>
          <w:rFonts w:ascii="Arial" w:hAnsi="Arial" w:cs="Arial"/>
        </w:rPr>
      </w:pPr>
      <w:r w:rsidRPr="004334DE">
        <w:rPr>
          <w:rStyle w:val="Emphasis"/>
          <w:rFonts w:ascii="Arial" w:hAnsi="Arial" w:cs="Arial"/>
        </w:rPr>
        <w:t>Basic mandatory conditions for all publication venues</w:t>
      </w:r>
    </w:p>
    <w:p w14:paraId="24368E24" w14:textId="77777777" w:rsidR="009C527D" w:rsidRPr="00AB1B07" w:rsidRDefault="009C527D" w:rsidP="009C527D">
      <w:pPr>
        <w:numPr>
          <w:ilvl w:val="0"/>
          <w:numId w:val="19"/>
        </w:numPr>
        <w:spacing w:before="100" w:beforeAutospacing="1" w:after="100" w:afterAutospacing="1" w:line="240" w:lineRule="auto"/>
        <w:rPr>
          <w:rFonts w:ascii="Arial" w:hAnsi="Arial" w:cs="Arial"/>
        </w:rPr>
      </w:pPr>
      <w:r w:rsidRPr="00AB1B07">
        <w:rPr>
          <w:rStyle w:val="Emphasis"/>
          <w:rFonts w:ascii="Arial" w:hAnsi="Arial" w:cs="Arial"/>
        </w:rPr>
        <w:t>Mandatory technical conditions for all publication venues.</w:t>
      </w:r>
    </w:p>
    <w:p w14:paraId="5BF7B84B" w14:textId="77777777" w:rsidR="009C527D" w:rsidRPr="00AB1B07" w:rsidRDefault="009C527D" w:rsidP="009C527D">
      <w:pPr>
        <w:pStyle w:val="NormalWeb"/>
        <w:ind w:left="720"/>
        <w:rPr>
          <w:rFonts w:ascii="Arial" w:hAnsi="Arial" w:cs="Arial"/>
          <w:sz w:val="22"/>
          <w:szCs w:val="22"/>
        </w:rPr>
      </w:pPr>
      <w:r w:rsidRPr="006E6FB3">
        <w:rPr>
          <w:rStyle w:val="Emphasis"/>
          <w:rFonts w:ascii="Arial" w:hAnsi="Arial" w:cs="Arial"/>
          <w:i w:val="0"/>
          <w:iCs w:val="0"/>
          <w:sz w:val="22"/>
          <w:szCs w:val="22"/>
        </w:rPr>
        <w:t>These requirements are set out at</w:t>
      </w:r>
      <w:r w:rsidRPr="00AB1B07">
        <w:rPr>
          <w:rFonts w:ascii="Arial" w:hAnsi="Arial" w:cs="Arial"/>
          <w:sz w:val="22"/>
          <w:szCs w:val="22"/>
        </w:rPr>
        <w:t xml:space="preserve"> </w:t>
      </w:r>
      <w:hyperlink r:id="rId10" w:history="1">
        <w:r w:rsidRPr="006E6FB3">
          <w:rPr>
            <w:rStyle w:val="Hyperlink"/>
            <w:rFonts w:ascii="Arial" w:hAnsi="Arial" w:cs="Arial"/>
            <w:sz w:val="22"/>
            <w:szCs w:val="22"/>
          </w:rPr>
          <w:t>https://www.coalition-s.org/principles-and-implementation /</w:t>
        </w:r>
      </w:hyperlink>
    </w:p>
    <w:p w14:paraId="2008B764" w14:textId="4438FF8B" w:rsidR="009C527D" w:rsidRPr="009C527D" w:rsidRDefault="009C527D" w:rsidP="009C527D">
      <w:pPr>
        <w:pStyle w:val="ListParagraph"/>
        <w:numPr>
          <w:ilvl w:val="0"/>
          <w:numId w:val="21"/>
        </w:numPr>
        <w:spacing w:before="100" w:beforeAutospacing="1" w:after="100" w:afterAutospacing="1" w:line="240" w:lineRule="auto"/>
        <w:rPr>
          <w:rFonts w:ascii="Arial" w:hAnsi="Arial" w:cs="Arial"/>
        </w:rPr>
      </w:pPr>
      <w:r w:rsidRPr="004334DE">
        <w:rPr>
          <w:rFonts w:ascii="Arial" w:hAnsi="Arial" w:cs="Arial"/>
        </w:rPr>
        <w:t>Details of the Transformative Journals Agreement, including all costs, pricing models and terms to be made publicly available online via (amongst others) the ESAC Re</w:t>
      </w:r>
      <w:r w:rsidR="001335ED">
        <w:rPr>
          <w:rFonts w:ascii="Arial" w:hAnsi="Arial" w:cs="Arial"/>
        </w:rPr>
        <w:t>g</w:t>
      </w:r>
      <w:bookmarkStart w:id="3" w:name="_GoBack"/>
      <w:bookmarkEnd w:id="3"/>
      <w:r w:rsidR="001335ED">
        <w:rPr>
          <w:rFonts w:ascii="Arial" w:hAnsi="Arial" w:cs="Arial"/>
        </w:rPr>
        <w:t>istry</w:t>
      </w:r>
      <w:r w:rsidRPr="004334DE">
        <w:rPr>
          <w:rFonts w:ascii="Arial" w:hAnsi="Arial" w:cs="Arial"/>
        </w:rPr>
        <w:t xml:space="preserve"> </w:t>
      </w:r>
      <w:hyperlink r:id="rId11" w:history="1">
        <w:r w:rsidRPr="004334DE">
          <w:rPr>
            <w:rStyle w:val="Hyperlink"/>
            <w:rFonts w:ascii="Arial" w:hAnsi="Arial" w:cs="Arial"/>
          </w:rPr>
          <w:t>https://esac-initiative.org/</w:t>
        </w:r>
      </w:hyperlink>
      <w:r w:rsidRPr="004334DE">
        <w:rPr>
          <w:rFonts w:ascii="Arial" w:hAnsi="Arial" w:cs="Arial"/>
        </w:rPr>
        <w:t>.</w:t>
      </w:r>
    </w:p>
    <w:p w14:paraId="3DC15F86" w14:textId="77777777" w:rsidR="009C527D" w:rsidRPr="009C527D" w:rsidRDefault="009C527D" w:rsidP="004334DE">
      <w:pPr>
        <w:spacing w:before="100" w:beforeAutospacing="1" w:after="100" w:afterAutospacing="1" w:line="240" w:lineRule="auto"/>
        <w:ind w:left="720"/>
        <w:rPr>
          <w:rFonts w:ascii="Arial" w:hAnsi="Arial" w:cs="Arial"/>
        </w:rPr>
      </w:pPr>
    </w:p>
    <w:sectPr w:rsidR="009C527D" w:rsidRPr="009C527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788CB" w14:textId="77777777" w:rsidR="00DA10DA" w:rsidRDefault="00DA10DA" w:rsidP="006D0CBD">
      <w:pPr>
        <w:spacing w:after="0" w:line="240" w:lineRule="auto"/>
      </w:pPr>
      <w:r>
        <w:separator/>
      </w:r>
    </w:p>
  </w:endnote>
  <w:endnote w:type="continuationSeparator" w:id="0">
    <w:p w14:paraId="4A38B145" w14:textId="77777777" w:rsidR="00DA10DA" w:rsidRDefault="00DA10DA" w:rsidP="006D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23C2A" w14:textId="77777777" w:rsidR="00DA10DA" w:rsidRDefault="00DA10DA" w:rsidP="006D0CBD">
      <w:pPr>
        <w:spacing w:after="0" w:line="240" w:lineRule="auto"/>
      </w:pPr>
      <w:r>
        <w:separator/>
      </w:r>
    </w:p>
  </w:footnote>
  <w:footnote w:type="continuationSeparator" w:id="0">
    <w:p w14:paraId="72A71250" w14:textId="77777777" w:rsidR="00DA10DA" w:rsidRDefault="00DA10DA" w:rsidP="006D0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73E"/>
    <w:multiLevelType w:val="hybridMultilevel"/>
    <w:tmpl w:val="B2A011D4"/>
    <w:lvl w:ilvl="0" w:tplc="37D67D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450C28"/>
    <w:multiLevelType w:val="multilevel"/>
    <w:tmpl w:val="1076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31F9D"/>
    <w:multiLevelType w:val="hybridMultilevel"/>
    <w:tmpl w:val="F3FCD604"/>
    <w:lvl w:ilvl="0" w:tplc="D7349052">
      <w:start w:val="1"/>
      <w:numFmt w:val="upperLetter"/>
      <w:pStyle w:val="MRNoHead1Sublic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879B4"/>
    <w:multiLevelType w:val="hybridMultilevel"/>
    <w:tmpl w:val="71F08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2D5269"/>
    <w:multiLevelType w:val="hybridMultilevel"/>
    <w:tmpl w:val="B5C4D85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370221"/>
    <w:multiLevelType w:val="hybridMultilevel"/>
    <w:tmpl w:val="CD40B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96F07"/>
    <w:multiLevelType w:val="multilevel"/>
    <w:tmpl w:val="5972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F24EE"/>
    <w:multiLevelType w:val="multilevel"/>
    <w:tmpl w:val="E2187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B54F15"/>
    <w:multiLevelType w:val="multilevel"/>
    <w:tmpl w:val="4F9C6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7BCE"/>
    <w:multiLevelType w:val="multilevel"/>
    <w:tmpl w:val="0C8CC58A"/>
    <w:numStyleLink w:val="SchedParas"/>
  </w:abstractNum>
  <w:abstractNum w:abstractNumId="10" w15:restartNumberingAfterBreak="0">
    <w:nsid w:val="2AF661E0"/>
    <w:multiLevelType w:val="multilevel"/>
    <w:tmpl w:val="0C8CC58A"/>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MainAgreement"/>
      <w:lvlText w:val="%1.%2"/>
      <w:lvlJc w:val="left"/>
      <w:pPr>
        <w:ind w:left="720" w:hanging="720"/>
      </w:pPr>
      <w:rPr>
        <w:rFonts w:cs="Times New Roman" w:hint="default"/>
      </w:rPr>
    </w:lvl>
    <w:lvl w:ilvl="2">
      <w:start w:val="1"/>
      <w:numFmt w:val="decimal"/>
      <w:pStyle w:val="MRSchedPara3MainAgreement"/>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1" w15:restartNumberingAfterBreak="0">
    <w:nsid w:val="4024560B"/>
    <w:multiLevelType w:val="hybridMultilevel"/>
    <w:tmpl w:val="2FD2F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961870"/>
    <w:multiLevelType w:val="multilevel"/>
    <w:tmpl w:val="7FE4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22D84"/>
    <w:multiLevelType w:val="hybridMultilevel"/>
    <w:tmpl w:val="4BC05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8824ED"/>
    <w:multiLevelType w:val="multilevel"/>
    <w:tmpl w:val="BD7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606B31"/>
    <w:multiLevelType w:val="hybridMultilevel"/>
    <w:tmpl w:val="DBAE2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BC2B77"/>
    <w:multiLevelType w:val="hybridMultilevel"/>
    <w:tmpl w:val="5C7439F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F7D034E"/>
    <w:multiLevelType w:val="multilevel"/>
    <w:tmpl w:val="E124D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AF74D6"/>
    <w:multiLevelType w:val="multilevel"/>
    <w:tmpl w:val="0C5ED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ED117E"/>
    <w:multiLevelType w:val="multilevel"/>
    <w:tmpl w:val="65D05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E3744B"/>
    <w:multiLevelType w:val="multilevel"/>
    <w:tmpl w:val="6218C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836F5F"/>
    <w:multiLevelType w:val="multilevel"/>
    <w:tmpl w:val="CE1803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2"/>
  </w:num>
  <w:num w:numId="4">
    <w:abstractNumId w:val="4"/>
  </w:num>
  <w:num w:numId="5">
    <w:abstractNumId w:val="5"/>
  </w:num>
  <w:num w:numId="6">
    <w:abstractNumId w:val="11"/>
  </w:num>
  <w:num w:numId="7">
    <w:abstractNumId w:val="10"/>
  </w:num>
  <w:num w:numId="8">
    <w:abstractNumId w:val="9"/>
  </w:num>
  <w:num w:numId="9">
    <w:abstractNumId w:val="16"/>
  </w:num>
  <w:num w:numId="10">
    <w:abstractNumId w:val="18"/>
  </w:num>
  <w:num w:numId="11">
    <w:abstractNumId w:val="17"/>
  </w:num>
  <w:num w:numId="12">
    <w:abstractNumId w:val="20"/>
  </w:num>
  <w:num w:numId="13">
    <w:abstractNumId w:val="19"/>
  </w:num>
  <w:num w:numId="14">
    <w:abstractNumId w:val="12"/>
  </w:num>
  <w:num w:numId="15">
    <w:abstractNumId w:val="1"/>
  </w:num>
  <w:num w:numId="16">
    <w:abstractNumId w:val="14"/>
  </w:num>
  <w:num w:numId="17">
    <w:abstractNumId w:val="8"/>
  </w:num>
  <w:num w:numId="18">
    <w:abstractNumId w:val="7"/>
  </w:num>
  <w:num w:numId="19">
    <w:abstractNumId w:val="6"/>
  </w:num>
  <w:num w:numId="20">
    <w:abstractNumId w:val="21"/>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13"/>
    <w:rsid w:val="0006590B"/>
    <w:rsid w:val="00086300"/>
    <w:rsid w:val="000A617F"/>
    <w:rsid w:val="000B19E9"/>
    <w:rsid w:val="000D5FEA"/>
    <w:rsid w:val="001178A5"/>
    <w:rsid w:val="001335ED"/>
    <w:rsid w:val="001601D4"/>
    <w:rsid w:val="00191AD9"/>
    <w:rsid w:val="001B7FA4"/>
    <w:rsid w:val="001F1FA6"/>
    <w:rsid w:val="002150C6"/>
    <w:rsid w:val="00224706"/>
    <w:rsid w:val="00247F01"/>
    <w:rsid w:val="00275213"/>
    <w:rsid w:val="002C1DC3"/>
    <w:rsid w:val="002D40C9"/>
    <w:rsid w:val="0032018B"/>
    <w:rsid w:val="00341C9D"/>
    <w:rsid w:val="0035022E"/>
    <w:rsid w:val="00355443"/>
    <w:rsid w:val="003562EE"/>
    <w:rsid w:val="003D034F"/>
    <w:rsid w:val="004334DE"/>
    <w:rsid w:val="00460045"/>
    <w:rsid w:val="0048521D"/>
    <w:rsid w:val="00487E1C"/>
    <w:rsid w:val="004A451F"/>
    <w:rsid w:val="004B2A0E"/>
    <w:rsid w:val="004C24B8"/>
    <w:rsid w:val="004D3956"/>
    <w:rsid w:val="004E67F7"/>
    <w:rsid w:val="0051468F"/>
    <w:rsid w:val="005C1E9C"/>
    <w:rsid w:val="005C7E39"/>
    <w:rsid w:val="005E6754"/>
    <w:rsid w:val="006670EB"/>
    <w:rsid w:val="00690D79"/>
    <w:rsid w:val="006A7809"/>
    <w:rsid w:val="006B56FA"/>
    <w:rsid w:val="006D0CBD"/>
    <w:rsid w:val="006E6FB3"/>
    <w:rsid w:val="006F6BEB"/>
    <w:rsid w:val="00704CDA"/>
    <w:rsid w:val="00723B64"/>
    <w:rsid w:val="00780C89"/>
    <w:rsid w:val="007A3D43"/>
    <w:rsid w:val="007D398A"/>
    <w:rsid w:val="007F2C93"/>
    <w:rsid w:val="00823737"/>
    <w:rsid w:val="00833BBF"/>
    <w:rsid w:val="008444B1"/>
    <w:rsid w:val="008735DA"/>
    <w:rsid w:val="008C54AA"/>
    <w:rsid w:val="008D3429"/>
    <w:rsid w:val="008F4D7B"/>
    <w:rsid w:val="009026FE"/>
    <w:rsid w:val="009827E5"/>
    <w:rsid w:val="009A26B4"/>
    <w:rsid w:val="009C527D"/>
    <w:rsid w:val="00A32276"/>
    <w:rsid w:val="00A61D87"/>
    <w:rsid w:val="00A72702"/>
    <w:rsid w:val="00A917FA"/>
    <w:rsid w:val="00AB1B07"/>
    <w:rsid w:val="00AE3321"/>
    <w:rsid w:val="00B4355D"/>
    <w:rsid w:val="00B80D0A"/>
    <w:rsid w:val="00BA0B4A"/>
    <w:rsid w:val="00BB7050"/>
    <w:rsid w:val="00BC57F1"/>
    <w:rsid w:val="00C1610D"/>
    <w:rsid w:val="00CE5C15"/>
    <w:rsid w:val="00CF2D05"/>
    <w:rsid w:val="00D520F9"/>
    <w:rsid w:val="00D53F79"/>
    <w:rsid w:val="00DA10DA"/>
    <w:rsid w:val="00DB7A2B"/>
    <w:rsid w:val="00DE6932"/>
    <w:rsid w:val="00E430E3"/>
    <w:rsid w:val="00E47AD7"/>
    <w:rsid w:val="00E62CA6"/>
    <w:rsid w:val="00EE3C0E"/>
    <w:rsid w:val="00F85A15"/>
    <w:rsid w:val="00FD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6886"/>
  <w15:chartTrackingRefBased/>
  <w15:docId w15:val="{DD4EB5A5-4CB3-4FA8-9758-9EFCE79D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46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F1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2D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Ind3">
    <w:name w:val="Model Ind 3"/>
    <w:basedOn w:val="Normal"/>
    <w:autoRedefine/>
    <w:rsid w:val="00275213"/>
    <w:pPr>
      <w:keepNext/>
      <w:widowControl w:val="0"/>
      <w:tabs>
        <w:tab w:val="left" w:pos="0"/>
        <w:tab w:val="left" w:pos="1134"/>
      </w:tabs>
      <w:spacing w:before="120" w:after="0" w:line="360" w:lineRule="auto"/>
      <w:jc w:val="both"/>
      <w:outlineLvl w:val="0"/>
    </w:pPr>
    <w:rPr>
      <w:rFonts w:ascii="Arial" w:eastAsia="Calibri" w:hAnsi="Arial" w:cs="Times New Roman"/>
      <w:lang w:eastAsia="en-GB"/>
    </w:rPr>
  </w:style>
  <w:style w:type="character" w:customStyle="1" w:styleId="normaltextrun">
    <w:name w:val="normaltextrun"/>
    <w:rsid w:val="00275213"/>
  </w:style>
  <w:style w:type="paragraph" w:styleId="ListParagraph">
    <w:name w:val="List Paragraph"/>
    <w:basedOn w:val="Normal"/>
    <w:uiPriority w:val="34"/>
    <w:qFormat/>
    <w:rsid w:val="00247F01"/>
    <w:pPr>
      <w:spacing w:line="256" w:lineRule="auto"/>
      <w:ind w:left="720"/>
      <w:contextualSpacing/>
    </w:pPr>
  </w:style>
  <w:style w:type="character" w:styleId="Hyperlink">
    <w:name w:val="Hyperlink"/>
    <w:basedOn w:val="DefaultParagraphFont"/>
    <w:uiPriority w:val="99"/>
    <w:unhideWhenUsed/>
    <w:rsid w:val="00247F01"/>
    <w:rPr>
      <w:color w:val="0000FF"/>
      <w:u w:val="single"/>
    </w:rPr>
  </w:style>
  <w:style w:type="paragraph" w:styleId="CommentText">
    <w:name w:val="annotation text"/>
    <w:basedOn w:val="Normal"/>
    <w:link w:val="CommentTextChar"/>
    <w:uiPriority w:val="99"/>
    <w:unhideWhenUsed/>
    <w:rsid w:val="00247F01"/>
    <w:pPr>
      <w:spacing w:line="240" w:lineRule="auto"/>
    </w:pPr>
    <w:rPr>
      <w:sz w:val="20"/>
      <w:szCs w:val="20"/>
    </w:rPr>
  </w:style>
  <w:style w:type="character" w:customStyle="1" w:styleId="CommentTextChar">
    <w:name w:val="Comment Text Char"/>
    <w:basedOn w:val="DefaultParagraphFont"/>
    <w:link w:val="CommentText"/>
    <w:uiPriority w:val="99"/>
    <w:rsid w:val="00247F01"/>
    <w:rPr>
      <w:sz w:val="20"/>
      <w:szCs w:val="20"/>
    </w:rPr>
  </w:style>
  <w:style w:type="character" w:customStyle="1" w:styleId="Heading1Char">
    <w:name w:val="Heading 1 Char"/>
    <w:basedOn w:val="DefaultParagraphFont"/>
    <w:link w:val="Heading1"/>
    <w:uiPriority w:val="9"/>
    <w:rsid w:val="0051468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51468F"/>
    <w:rPr>
      <w:b/>
      <w:bCs/>
    </w:rPr>
  </w:style>
  <w:style w:type="character" w:customStyle="1" w:styleId="Heading3Char">
    <w:name w:val="Heading 3 Char"/>
    <w:basedOn w:val="DefaultParagraphFont"/>
    <w:link w:val="Heading3"/>
    <w:uiPriority w:val="9"/>
    <w:rsid w:val="00CF2D05"/>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F2D05"/>
    <w:rPr>
      <w:color w:val="954F72" w:themeColor="followedHyperlink"/>
      <w:u w:val="single"/>
    </w:rPr>
  </w:style>
  <w:style w:type="character" w:styleId="UnresolvedMention">
    <w:name w:val="Unresolved Mention"/>
    <w:basedOn w:val="DefaultParagraphFont"/>
    <w:uiPriority w:val="99"/>
    <w:semiHidden/>
    <w:unhideWhenUsed/>
    <w:rsid w:val="00CF2D05"/>
    <w:rPr>
      <w:color w:val="605E5C"/>
      <w:shd w:val="clear" w:color="auto" w:fill="E1DFDD"/>
    </w:rPr>
  </w:style>
  <w:style w:type="character" w:styleId="Emphasis">
    <w:name w:val="Emphasis"/>
    <w:basedOn w:val="DefaultParagraphFont"/>
    <w:uiPriority w:val="20"/>
    <w:qFormat/>
    <w:rsid w:val="00CF2D05"/>
    <w:rPr>
      <w:i/>
      <w:iCs/>
    </w:rPr>
  </w:style>
  <w:style w:type="paragraph" w:customStyle="1" w:styleId="MRNoHead1Sublicence">
    <w:name w:val="M&amp;R No Head 1 Sublicence"/>
    <w:basedOn w:val="Normal"/>
    <w:autoRedefine/>
    <w:qFormat/>
    <w:rsid w:val="00CF2D05"/>
    <w:pPr>
      <w:numPr>
        <w:numId w:val="3"/>
      </w:numPr>
      <w:tabs>
        <w:tab w:val="left" w:pos="426"/>
        <w:tab w:val="left" w:pos="720"/>
        <w:tab w:val="left" w:pos="1440"/>
        <w:tab w:val="left" w:pos="2160"/>
      </w:tabs>
      <w:spacing w:before="240" w:after="240" w:line="360" w:lineRule="auto"/>
      <w:jc w:val="both"/>
      <w:outlineLvl w:val="0"/>
    </w:pPr>
    <w:rPr>
      <w:rFonts w:ascii="Arial" w:eastAsia="Calibri" w:hAnsi="Arial" w:cs="Times New Roman"/>
      <w:sz w:val="20"/>
      <w:lang w:eastAsia="en-GB"/>
    </w:rPr>
  </w:style>
  <w:style w:type="character" w:customStyle="1" w:styleId="Heading2Char">
    <w:name w:val="Heading 2 Char"/>
    <w:basedOn w:val="DefaultParagraphFont"/>
    <w:link w:val="Heading2"/>
    <w:uiPriority w:val="9"/>
    <w:rsid w:val="001F1FA6"/>
    <w:rPr>
      <w:rFonts w:asciiTheme="majorHAnsi" w:eastAsiaTheme="majorEastAsia" w:hAnsiTheme="majorHAnsi" w:cstheme="majorBidi"/>
      <w:color w:val="2F5496" w:themeColor="accent1" w:themeShade="BF"/>
      <w:sz w:val="26"/>
      <w:szCs w:val="26"/>
    </w:rPr>
  </w:style>
  <w:style w:type="paragraph" w:customStyle="1" w:styleId="MRSchedPara1">
    <w:name w:val="M&amp;R Sched Para 1"/>
    <w:aliases w:val="M&amp;RscP1"/>
    <w:basedOn w:val="Normal"/>
    <w:uiPriority w:val="34"/>
    <w:qFormat/>
    <w:rsid w:val="00E430E3"/>
    <w:pPr>
      <w:keepNext/>
      <w:keepLines/>
      <w:numPr>
        <w:numId w:val="8"/>
      </w:numPr>
      <w:spacing w:before="240" w:after="0" w:line="360" w:lineRule="auto"/>
      <w:jc w:val="both"/>
      <w:outlineLvl w:val="0"/>
    </w:pPr>
    <w:rPr>
      <w:rFonts w:ascii="Arial" w:eastAsia="Calibri" w:hAnsi="Arial" w:cs="Times New Roman"/>
      <w:b/>
      <w:u w:val="single"/>
      <w:lang w:eastAsia="en-GB"/>
    </w:rPr>
  </w:style>
  <w:style w:type="paragraph" w:customStyle="1" w:styleId="MRSchedPara2MainAgreement">
    <w:name w:val="M&amp;R Sched Para 2 Main Agreement"/>
    <w:basedOn w:val="Normal"/>
    <w:uiPriority w:val="34"/>
    <w:qFormat/>
    <w:rsid w:val="00E430E3"/>
    <w:pPr>
      <w:numPr>
        <w:ilvl w:val="1"/>
        <w:numId w:val="8"/>
      </w:numPr>
      <w:spacing w:before="240" w:after="0" w:line="360" w:lineRule="auto"/>
      <w:jc w:val="both"/>
      <w:outlineLvl w:val="1"/>
    </w:pPr>
    <w:rPr>
      <w:rFonts w:ascii="Arial" w:eastAsia="Calibri" w:hAnsi="Arial" w:cs="Times New Roman"/>
      <w:lang w:eastAsia="en-GB"/>
    </w:rPr>
  </w:style>
  <w:style w:type="paragraph" w:customStyle="1" w:styleId="MRSchedPara3MainAgreement">
    <w:name w:val="M&amp;R Sched Para 3 Main Agreement"/>
    <w:basedOn w:val="Normal"/>
    <w:autoRedefine/>
    <w:uiPriority w:val="34"/>
    <w:qFormat/>
    <w:rsid w:val="00E430E3"/>
    <w:pPr>
      <w:numPr>
        <w:ilvl w:val="2"/>
        <w:numId w:val="8"/>
      </w:numPr>
      <w:tabs>
        <w:tab w:val="left" w:pos="1797"/>
      </w:tabs>
      <w:spacing w:before="240" w:after="0" w:line="360" w:lineRule="auto"/>
      <w:jc w:val="both"/>
      <w:outlineLvl w:val="2"/>
    </w:pPr>
    <w:rPr>
      <w:rFonts w:ascii="Arial" w:eastAsia="Calibri" w:hAnsi="Arial" w:cs="Times New Roman"/>
      <w:sz w:val="20"/>
      <w:lang w:eastAsia="en-GB"/>
    </w:rPr>
  </w:style>
  <w:style w:type="paragraph" w:customStyle="1" w:styleId="MRSchedPara4">
    <w:name w:val="M&amp;R Sched Para 4"/>
    <w:aliases w:val="M&amp;RscP4"/>
    <w:basedOn w:val="Normal"/>
    <w:uiPriority w:val="34"/>
    <w:rsid w:val="00E430E3"/>
    <w:pPr>
      <w:numPr>
        <w:ilvl w:val="3"/>
        <w:numId w:val="8"/>
      </w:numPr>
      <w:spacing w:before="240" w:after="0" w:line="360" w:lineRule="auto"/>
      <w:jc w:val="both"/>
      <w:outlineLvl w:val="3"/>
    </w:pPr>
    <w:rPr>
      <w:rFonts w:ascii="Arial" w:eastAsia="Calibri" w:hAnsi="Arial" w:cs="Times New Roman"/>
      <w:sz w:val="20"/>
      <w:lang w:eastAsia="en-GB"/>
    </w:rPr>
  </w:style>
  <w:style w:type="paragraph" w:customStyle="1" w:styleId="MRSchedPara5">
    <w:name w:val="M&amp;R Sched Para 5"/>
    <w:aliases w:val="M&amp;RscP5"/>
    <w:basedOn w:val="Normal"/>
    <w:uiPriority w:val="34"/>
    <w:rsid w:val="00E430E3"/>
    <w:pPr>
      <w:numPr>
        <w:ilvl w:val="4"/>
        <w:numId w:val="8"/>
      </w:numPr>
      <w:spacing w:before="240" w:after="0" w:line="360" w:lineRule="auto"/>
      <w:jc w:val="both"/>
      <w:outlineLvl w:val="4"/>
    </w:pPr>
    <w:rPr>
      <w:rFonts w:ascii="Arial" w:eastAsia="Calibri" w:hAnsi="Arial" w:cs="Times New Roman"/>
      <w:lang w:eastAsia="en-GB"/>
    </w:rPr>
  </w:style>
  <w:style w:type="paragraph" w:customStyle="1" w:styleId="MRSchedPara6">
    <w:name w:val="M&amp;R Sched Para 6"/>
    <w:aliases w:val="M&amp;RscP6"/>
    <w:basedOn w:val="Normal"/>
    <w:uiPriority w:val="34"/>
    <w:rsid w:val="00E430E3"/>
    <w:pPr>
      <w:numPr>
        <w:ilvl w:val="5"/>
        <w:numId w:val="8"/>
      </w:numPr>
      <w:spacing w:before="240" w:after="0" w:line="360" w:lineRule="auto"/>
      <w:jc w:val="both"/>
      <w:outlineLvl w:val="5"/>
    </w:pPr>
    <w:rPr>
      <w:rFonts w:ascii="Arial" w:eastAsia="Calibri" w:hAnsi="Arial" w:cs="Times New Roman"/>
      <w:lang w:eastAsia="en-GB"/>
    </w:rPr>
  </w:style>
  <w:style w:type="paragraph" w:customStyle="1" w:styleId="MRSchedPara7">
    <w:name w:val="M&amp;R Sched Para 7"/>
    <w:aliases w:val="M&amp;RscP7"/>
    <w:basedOn w:val="Normal"/>
    <w:uiPriority w:val="34"/>
    <w:rsid w:val="00E430E3"/>
    <w:pPr>
      <w:numPr>
        <w:ilvl w:val="6"/>
        <w:numId w:val="8"/>
      </w:numPr>
      <w:spacing w:before="240" w:after="0" w:line="360" w:lineRule="auto"/>
      <w:jc w:val="both"/>
      <w:outlineLvl w:val="6"/>
    </w:pPr>
    <w:rPr>
      <w:rFonts w:ascii="Arial" w:eastAsia="Calibri" w:hAnsi="Arial" w:cs="Times New Roman"/>
      <w:lang w:eastAsia="en-GB"/>
    </w:rPr>
  </w:style>
  <w:style w:type="paragraph" w:customStyle="1" w:styleId="MRSchedPara8">
    <w:name w:val="M&amp;R Sched Para 8"/>
    <w:aliases w:val="M&amp;RscP8"/>
    <w:basedOn w:val="Normal"/>
    <w:uiPriority w:val="34"/>
    <w:rsid w:val="00E430E3"/>
    <w:pPr>
      <w:numPr>
        <w:ilvl w:val="7"/>
        <w:numId w:val="8"/>
      </w:numPr>
      <w:spacing w:before="240" w:after="0" w:line="360" w:lineRule="auto"/>
      <w:jc w:val="both"/>
      <w:outlineLvl w:val="7"/>
    </w:pPr>
    <w:rPr>
      <w:rFonts w:ascii="Arial" w:eastAsia="Calibri" w:hAnsi="Arial" w:cs="Times New Roman"/>
      <w:lang w:eastAsia="en-GB"/>
    </w:rPr>
  </w:style>
  <w:style w:type="paragraph" w:customStyle="1" w:styleId="MRSchedPara9">
    <w:name w:val="M&amp;R Sched Para 9"/>
    <w:aliases w:val="M&amp;RscP9"/>
    <w:basedOn w:val="Normal"/>
    <w:uiPriority w:val="34"/>
    <w:rsid w:val="00E430E3"/>
    <w:pPr>
      <w:numPr>
        <w:ilvl w:val="8"/>
        <w:numId w:val="8"/>
      </w:numPr>
      <w:tabs>
        <w:tab w:val="left" w:pos="6118"/>
      </w:tabs>
      <w:spacing w:before="240" w:after="0" w:line="360" w:lineRule="auto"/>
      <w:jc w:val="both"/>
      <w:outlineLvl w:val="8"/>
    </w:pPr>
    <w:rPr>
      <w:rFonts w:ascii="Arial" w:eastAsia="Calibri" w:hAnsi="Arial" w:cs="Times New Roman"/>
      <w:lang w:eastAsia="en-GB"/>
    </w:rPr>
  </w:style>
  <w:style w:type="numbering" w:customStyle="1" w:styleId="SchedParas">
    <w:name w:val="Sched Paras"/>
    <w:rsid w:val="00E430E3"/>
    <w:pPr>
      <w:numPr>
        <w:numId w:val="7"/>
      </w:numPr>
    </w:pPr>
  </w:style>
  <w:style w:type="paragraph" w:styleId="Header">
    <w:name w:val="header"/>
    <w:basedOn w:val="Normal"/>
    <w:link w:val="HeaderChar"/>
    <w:uiPriority w:val="99"/>
    <w:unhideWhenUsed/>
    <w:rsid w:val="006D0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CBD"/>
  </w:style>
  <w:style w:type="paragraph" w:styleId="Footer">
    <w:name w:val="footer"/>
    <w:basedOn w:val="Normal"/>
    <w:link w:val="FooterChar"/>
    <w:uiPriority w:val="99"/>
    <w:unhideWhenUsed/>
    <w:rsid w:val="006D0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CBD"/>
  </w:style>
  <w:style w:type="character" w:styleId="CommentReference">
    <w:name w:val="annotation reference"/>
    <w:basedOn w:val="DefaultParagraphFont"/>
    <w:uiPriority w:val="99"/>
    <w:semiHidden/>
    <w:unhideWhenUsed/>
    <w:rsid w:val="004A451F"/>
    <w:rPr>
      <w:sz w:val="16"/>
      <w:szCs w:val="16"/>
    </w:rPr>
  </w:style>
  <w:style w:type="paragraph" w:styleId="CommentSubject">
    <w:name w:val="annotation subject"/>
    <w:basedOn w:val="CommentText"/>
    <w:next w:val="CommentText"/>
    <w:link w:val="CommentSubjectChar"/>
    <w:uiPriority w:val="99"/>
    <w:semiHidden/>
    <w:unhideWhenUsed/>
    <w:rsid w:val="004A451F"/>
    <w:rPr>
      <w:b/>
      <w:bCs/>
    </w:rPr>
  </w:style>
  <w:style w:type="character" w:customStyle="1" w:styleId="CommentSubjectChar">
    <w:name w:val="Comment Subject Char"/>
    <w:basedOn w:val="CommentTextChar"/>
    <w:link w:val="CommentSubject"/>
    <w:uiPriority w:val="99"/>
    <w:semiHidden/>
    <w:rsid w:val="004A451F"/>
    <w:rPr>
      <w:b/>
      <w:bCs/>
      <w:sz w:val="20"/>
      <w:szCs w:val="20"/>
    </w:rPr>
  </w:style>
  <w:style w:type="paragraph" w:styleId="BalloonText">
    <w:name w:val="Balloon Text"/>
    <w:basedOn w:val="Normal"/>
    <w:link w:val="BalloonTextChar"/>
    <w:uiPriority w:val="99"/>
    <w:semiHidden/>
    <w:unhideWhenUsed/>
    <w:rsid w:val="004A4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51F"/>
    <w:rPr>
      <w:rFonts w:ascii="Segoe UI" w:hAnsi="Segoe UI" w:cs="Segoe UI"/>
      <w:sz w:val="18"/>
      <w:szCs w:val="18"/>
    </w:rPr>
  </w:style>
  <w:style w:type="paragraph" w:styleId="NormalWeb">
    <w:name w:val="Normal (Web)"/>
    <w:basedOn w:val="Normal"/>
    <w:uiPriority w:val="99"/>
    <w:semiHidden/>
    <w:unhideWhenUsed/>
    <w:rsid w:val="00AE33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456">
      <w:bodyDiv w:val="1"/>
      <w:marLeft w:val="0"/>
      <w:marRight w:val="0"/>
      <w:marTop w:val="0"/>
      <w:marBottom w:val="0"/>
      <w:divBdr>
        <w:top w:val="none" w:sz="0" w:space="0" w:color="auto"/>
        <w:left w:val="none" w:sz="0" w:space="0" w:color="auto"/>
        <w:bottom w:val="none" w:sz="0" w:space="0" w:color="auto"/>
        <w:right w:val="none" w:sz="0" w:space="0" w:color="auto"/>
      </w:divBdr>
    </w:div>
    <w:div w:id="380789962">
      <w:bodyDiv w:val="1"/>
      <w:marLeft w:val="0"/>
      <w:marRight w:val="0"/>
      <w:marTop w:val="0"/>
      <w:marBottom w:val="0"/>
      <w:divBdr>
        <w:top w:val="none" w:sz="0" w:space="0" w:color="auto"/>
        <w:left w:val="none" w:sz="0" w:space="0" w:color="auto"/>
        <w:bottom w:val="none" w:sz="0" w:space="0" w:color="auto"/>
        <w:right w:val="none" w:sz="0" w:space="0" w:color="auto"/>
      </w:divBdr>
    </w:div>
    <w:div w:id="391780369">
      <w:bodyDiv w:val="1"/>
      <w:marLeft w:val="0"/>
      <w:marRight w:val="0"/>
      <w:marTop w:val="0"/>
      <w:marBottom w:val="0"/>
      <w:divBdr>
        <w:top w:val="none" w:sz="0" w:space="0" w:color="auto"/>
        <w:left w:val="none" w:sz="0" w:space="0" w:color="auto"/>
        <w:bottom w:val="none" w:sz="0" w:space="0" w:color="auto"/>
        <w:right w:val="none" w:sz="0" w:space="0" w:color="auto"/>
      </w:divBdr>
    </w:div>
    <w:div w:id="562108844">
      <w:bodyDiv w:val="1"/>
      <w:marLeft w:val="0"/>
      <w:marRight w:val="0"/>
      <w:marTop w:val="0"/>
      <w:marBottom w:val="0"/>
      <w:divBdr>
        <w:top w:val="none" w:sz="0" w:space="0" w:color="auto"/>
        <w:left w:val="none" w:sz="0" w:space="0" w:color="auto"/>
        <w:bottom w:val="none" w:sz="0" w:space="0" w:color="auto"/>
        <w:right w:val="none" w:sz="0" w:space="0" w:color="auto"/>
      </w:divBdr>
    </w:div>
    <w:div w:id="582420433">
      <w:bodyDiv w:val="1"/>
      <w:marLeft w:val="0"/>
      <w:marRight w:val="0"/>
      <w:marTop w:val="0"/>
      <w:marBottom w:val="0"/>
      <w:divBdr>
        <w:top w:val="none" w:sz="0" w:space="0" w:color="auto"/>
        <w:left w:val="none" w:sz="0" w:space="0" w:color="auto"/>
        <w:bottom w:val="none" w:sz="0" w:space="0" w:color="auto"/>
        <w:right w:val="none" w:sz="0" w:space="0" w:color="auto"/>
      </w:divBdr>
    </w:div>
    <w:div w:id="802620494">
      <w:bodyDiv w:val="1"/>
      <w:marLeft w:val="0"/>
      <w:marRight w:val="0"/>
      <w:marTop w:val="0"/>
      <w:marBottom w:val="0"/>
      <w:divBdr>
        <w:top w:val="none" w:sz="0" w:space="0" w:color="auto"/>
        <w:left w:val="none" w:sz="0" w:space="0" w:color="auto"/>
        <w:bottom w:val="none" w:sz="0" w:space="0" w:color="auto"/>
        <w:right w:val="none" w:sz="0" w:space="0" w:color="auto"/>
      </w:divBdr>
    </w:div>
    <w:div w:id="1029331342">
      <w:bodyDiv w:val="1"/>
      <w:marLeft w:val="0"/>
      <w:marRight w:val="0"/>
      <w:marTop w:val="0"/>
      <w:marBottom w:val="0"/>
      <w:divBdr>
        <w:top w:val="none" w:sz="0" w:space="0" w:color="auto"/>
        <w:left w:val="none" w:sz="0" w:space="0" w:color="auto"/>
        <w:bottom w:val="none" w:sz="0" w:space="0" w:color="auto"/>
        <w:right w:val="none" w:sz="0" w:space="0" w:color="auto"/>
      </w:divBdr>
    </w:div>
    <w:div w:id="1179199503">
      <w:bodyDiv w:val="1"/>
      <w:marLeft w:val="0"/>
      <w:marRight w:val="0"/>
      <w:marTop w:val="0"/>
      <w:marBottom w:val="0"/>
      <w:divBdr>
        <w:top w:val="none" w:sz="0" w:space="0" w:color="auto"/>
        <w:left w:val="none" w:sz="0" w:space="0" w:color="auto"/>
        <w:bottom w:val="none" w:sz="0" w:space="0" w:color="auto"/>
        <w:right w:val="none" w:sz="0" w:space="0" w:color="auto"/>
      </w:divBdr>
    </w:div>
    <w:div w:id="1624076937">
      <w:bodyDiv w:val="1"/>
      <w:marLeft w:val="0"/>
      <w:marRight w:val="0"/>
      <w:marTop w:val="0"/>
      <w:marBottom w:val="0"/>
      <w:divBdr>
        <w:top w:val="none" w:sz="0" w:space="0" w:color="auto"/>
        <w:left w:val="none" w:sz="0" w:space="0" w:color="auto"/>
        <w:bottom w:val="none" w:sz="0" w:space="0" w:color="auto"/>
        <w:right w:val="none" w:sz="0" w:space="0" w:color="auto"/>
      </w:divBdr>
    </w:div>
    <w:div w:id="1886218042">
      <w:bodyDiv w:val="1"/>
      <w:marLeft w:val="0"/>
      <w:marRight w:val="0"/>
      <w:marTop w:val="0"/>
      <w:marBottom w:val="0"/>
      <w:divBdr>
        <w:top w:val="none" w:sz="0" w:space="0" w:color="auto"/>
        <w:left w:val="none" w:sz="0" w:space="0" w:color="auto"/>
        <w:bottom w:val="none" w:sz="0" w:space="0" w:color="auto"/>
        <w:right w:val="none" w:sz="0" w:space="0" w:color="auto"/>
      </w:divBdr>
    </w:div>
    <w:div w:id="20149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c-initiative.org/wp-content/uploads/2019/02/ESAC-Open-Access-Service-Level-Agreement-Templat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ac-initiative.org/" TargetMode="External"/><Relationship Id="rId5" Type="http://schemas.openxmlformats.org/officeDocument/2006/relationships/webSettings" Target="webSettings.xml"/><Relationship Id="rId10" Type="http://schemas.openxmlformats.org/officeDocument/2006/relationships/hyperlink" Target="https://www.coalition-s.org/principles-and-implementation%20/" TargetMode="External"/><Relationship Id="rId4" Type="http://schemas.openxmlformats.org/officeDocument/2006/relationships/settings" Target="settings.xml"/><Relationship Id="rId9" Type="http://schemas.openxmlformats.org/officeDocument/2006/relationships/hyperlink" Target="https://esac-initiative.org/workflows/sample-workflow-terms-for-transformative-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2DAAA-6206-490C-B09E-1B4F3E97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Estelle</dc:creator>
  <cp:keywords/>
  <dc:description/>
  <cp:lastModifiedBy>Lorraine Estelle</cp:lastModifiedBy>
  <cp:revision>7</cp:revision>
  <dcterms:created xsi:type="dcterms:W3CDTF">2019-08-22T15:17:00Z</dcterms:created>
  <dcterms:modified xsi:type="dcterms:W3CDTF">2019-09-09T12:21:00Z</dcterms:modified>
</cp:coreProperties>
</file>